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33" w:rsidRPr="009F0BB7" w:rsidRDefault="005921F2">
      <w:pPr>
        <w:pStyle w:val="Bodytext20"/>
        <w:spacing w:after="560" w:line="240" w:lineRule="auto"/>
        <w:ind w:firstLine="0"/>
        <w:jc w:val="right"/>
        <w:rPr>
          <w:iCs w:val="0"/>
          <w:color w:val="162049"/>
          <w:sz w:val="24"/>
          <w:szCs w:val="24"/>
        </w:rPr>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1736090</wp:posOffset>
                </wp:positionH>
                <wp:positionV relativeFrom="paragraph">
                  <wp:posOffset>12700</wp:posOffset>
                </wp:positionV>
                <wp:extent cx="1185545" cy="2286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185545" cy="228600"/>
                        </a:xfrm>
                        <a:prstGeom prst="rect">
                          <a:avLst/>
                        </a:prstGeom>
                        <a:noFill/>
                      </wps:spPr>
                      <wps:txbx>
                        <w:txbxContent>
                          <w:p w:rsidR="00FD3833" w:rsidRDefault="009F0BB7">
                            <w:pPr>
                              <w:pStyle w:val="Bodytext20"/>
                              <w:spacing w:line="240" w:lineRule="auto"/>
                              <w:ind w:firstLine="0"/>
                              <w:rPr>
                                <w:sz w:val="24"/>
                                <w:szCs w:val="24"/>
                              </w:rPr>
                            </w:pPr>
                            <w:r>
                              <w:rPr>
                                <w:i w:val="0"/>
                                <w:iCs w:val="0"/>
                                <w:sz w:val="24"/>
                                <w:szCs w:val="24"/>
                              </w:rPr>
                              <w:t>No</w:t>
                            </w:r>
                            <w:r w:rsidR="005921F2">
                              <w:rPr>
                                <w:i w:val="0"/>
                                <w:iCs w:val="0"/>
                                <w:sz w:val="24"/>
                                <w:szCs w:val="24"/>
                              </w:rPr>
                              <w:t xml:space="preserve">: </w:t>
                            </w:r>
                            <w:r>
                              <w:rPr>
                                <w:i w:val="0"/>
                                <w:iCs w:val="0"/>
                                <w:color w:val="162049"/>
                                <w:sz w:val="24"/>
                                <w:szCs w:val="24"/>
                                <w:lang w:val="en-US"/>
                              </w:rPr>
                              <w:t>57</w:t>
                            </w:r>
                            <w:r w:rsidR="005921F2">
                              <w:rPr>
                                <w:i w:val="0"/>
                                <w:iCs w:val="0"/>
                                <w:color w:val="162049"/>
                                <w:sz w:val="24"/>
                                <w:szCs w:val="24"/>
                              </w:rPr>
                              <w:t>/NQ-HĐT</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136.7pt;margin-top:1pt;width:93.35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" filled="f" stroked="f">
                <v:textbox inset="0,0,0,0">
                  <w:txbxContent>
                    <w:p w:rsidR="00FD3833" w:rsidRDefault="009F0BB7">
                      <w:pPr>
                        <w:pStyle w:val="Bodytext20"/>
                        <w:spacing w:line="240" w:lineRule="auto"/>
                        <w:ind w:firstLine="0"/>
                        <w:rPr>
                          <w:sz w:val="24"/>
                          <w:szCs w:val="24"/>
                        </w:rPr>
                      </w:pPr>
                      <w:r>
                        <w:rPr>
                          <w:i w:val="0"/>
                          <w:iCs w:val="0"/>
                          <w:sz w:val="24"/>
                          <w:szCs w:val="24"/>
                        </w:rPr>
                        <w:t>No</w:t>
                      </w:r>
                      <w:r w:rsidR="005921F2">
                        <w:rPr>
                          <w:i w:val="0"/>
                          <w:iCs w:val="0"/>
                          <w:sz w:val="24"/>
                          <w:szCs w:val="24"/>
                        </w:rPr>
                        <w:t xml:space="preserve">: </w:t>
                      </w:r>
                      <w:r>
                        <w:rPr>
                          <w:i w:val="0"/>
                          <w:iCs w:val="0"/>
                          <w:color w:val="162049"/>
                          <w:sz w:val="24"/>
                          <w:szCs w:val="24"/>
                          <w:lang w:val="en-US"/>
                        </w:rPr>
                        <w:t>57</w:t>
                      </w:r>
                      <w:r w:rsidR="005921F2">
                        <w:rPr>
                          <w:i w:val="0"/>
                          <w:iCs w:val="0"/>
                          <w:color w:val="162049"/>
                          <w:sz w:val="24"/>
                          <w:szCs w:val="24"/>
                        </w:rPr>
                        <w:t>/NQ-HĐT</w:t>
                      </w:r>
                    </w:p>
                  </w:txbxContent>
                </v:textbox>
                <w10:wrap type="square" side="right" anchorx="page"/>
              </v:shape>
            </w:pict>
          </mc:Fallback>
        </mc:AlternateContent>
      </w:r>
      <w:r w:rsidR="009F0BB7" w:rsidRPr="009F0BB7">
        <w:rPr>
          <w:iCs w:val="0"/>
          <w:color w:val="162049"/>
          <w:sz w:val="24"/>
          <w:szCs w:val="24"/>
        </w:rPr>
        <w:t>Binh Dinh, December 19th, 2022</w:t>
      </w:r>
    </w:p>
    <w:p w:rsidR="009F0BB7" w:rsidRPr="009F0BB7" w:rsidRDefault="009F0BB7" w:rsidP="009F0BB7">
      <w:pPr>
        <w:pStyle w:val="Bodytext20"/>
        <w:spacing w:line="259" w:lineRule="auto"/>
        <w:ind w:firstLine="0"/>
        <w:jc w:val="center"/>
        <w:rPr>
          <w:b/>
          <w:bCs/>
          <w:i w:val="0"/>
          <w:iCs w:val="0"/>
        </w:rPr>
      </w:pPr>
      <w:r w:rsidRPr="009F0BB7">
        <w:rPr>
          <w:b/>
          <w:bCs/>
          <w:i w:val="0"/>
          <w:iCs w:val="0"/>
        </w:rPr>
        <w:t>RESOLUTION</w:t>
      </w:r>
    </w:p>
    <w:p w:rsidR="009F0BB7" w:rsidRDefault="009F0BB7" w:rsidP="009F0BB7">
      <w:pPr>
        <w:pStyle w:val="Bodytext20"/>
        <w:spacing w:line="259" w:lineRule="auto"/>
        <w:ind w:firstLine="0"/>
        <w:jc w:val="center"/>
        <w:rPr>
          <w:b/>
          <w:bCs/>
          <w:i w:val="0"/>
          <w:iCs w:val="0"/>
        </w:rPr>
      </w:pPr>
      <w:r w:rsidRPr="009F0BB7">
        <w:rPr>
          <w:b/>
          <w:bCs/>
          <w:i w:val="0"/>
          <w:iCs w:val="0"/>
        </w:rPr>
        <w:t xml:space="preserve">The regular meeting of the Council of Quy Nhon University </w:t>
      </w:r>
    </w:p>
    <w:p w:rsidR="009F0BB7" w:rsidRDefault="009F0BB7">
      <w:pPr>
        <w:pStyle w:val="Bodytext20"/>
        <w:spacing w:after="480" w:line="259" w:lineRule="auto"/>
        <w:ind w:firstLine="0"/>
        <w:jc w:val="center"/>
        <w:rPr>
          <w:b/>
          <w:bCs/>
          <w:i w:val="0"/>
          <w:iCs w:val="0"/>
        </w:rPr>
      </w:pPr>
      <w:r w:rsidRPr="009F0BB7">
        <w:rPr>
          <w:b/>
          <w:bCs/>
          <w:i w:val="0"/>
          <w:iCs w:val="0"/>
        </w:rPr>
        <w:t>for the fourth quarter of 2022, term 2020-2025</w:t>
      </w:r>
    </w:p>
    <w:p w:rsidR="009F0BB7" w:rsidRDefault="009F0BB7">
      <w:pPr>
        <w:pStyle w:val="Heading10"/>
        <w:keepNext/>
        <w:keepLines/>
        <w:spacing w:after="100" w:line="360" w:lineRule="auto"/>
        <w:jc w:val="center"/>
      </w:pPr>
      <w:r w:rsidRPr="009F0BB7">
        <w:t>COUNCIL OF QUY NHON UNIVERSITY</w:t>
      </w:r>
    </w:p>
    <w:p w:rsidR="009F0BB7" w:rsidRDefault="009F0BB7" w:rsidP="009F0BB7">
      <w:pPr>
        <w:pStyle w:val="Bodytext20"/>
        <w:jc w:val="both"/>
      </w:pPr>
      <w:r>
        <w:t>Based on the Law on Higher Education dated June 18, 2012, and the Law amending and supplementing certain provisions of the Law on Higher Education dated November 19, 2018;</w:t>
      </w:r>
    </w:p>
    <w:p w:rsidR="009F0BB7" w:rsidRDefault="009F0BB7" w:rsidP="009F0BB7">
      <w:pPr>
        <w:pStyle w:val="Bodytext20"/>
        <w:jc w:val="both"/>
      </w:pPr>
      <w:r>
        <w:t>By Government Decree No. 99/2019/NĐ-CP dated December 30, 2019, which provides detailed regulations and guidelines for the implementation of certain provisions of the Law amending and supplementing certain provisions of the Law on Higher Education;</w:t>
      </w:r>
    </w:p>
    <w:p w:rsidR="009F0BB7" w:rsidRDefault="009F0BB7" w:rsidP="009F0BB7">
      <w:pPr>
        <w:pStyle w:val="Bodytext20"/>
        <w:jc w:val="both"/>
      </w:pPr>
      <w:r>
        <w:t>Referring to the decision No. 2019/QĐ-BGDĐT dated July 20, 2020, of the Minister of Education and Training recognizing the Council of Quy Nhon University for the 2020-2025 term, as well as decision No. 2021/QĐ-BGDĐT dated July 20, 2020, of the Minister of Education and Training recognizing the Chairman of the Council of Quy Nhon University for the 2020-2025 term;</w:t>
      </w:r>
    </w:p>
    <w:p w:rsidR="009F0BB7" w:rsidRDefault="009F0BB7" w:rsidP="009F0BB7">
      <w:pPr>
        <w:pStyle w:val="Bodytext20"/>
        <w:jc w:val="both"/>
      </w:pPr>
      <w:r>
        <w:t>By the Organization and Operation Regulations of Quy Nhon University issued together with Resolution No. 12/NQ-HĐT dated December 8, 2020, of the Council of Quy Nhon University;</w:t>
      </w:r>
    </w:p>
    <w:p w:rsidR="009F0BB7" w:rsidRDefault="009F0BB7" w:rsidP="009F0BB7">
      <w:pPr>
        <w:pStyle w:val="Bodytext20"/>
        <w:jc w:val="both"/>
      </w:pPr>
      <w:r>
        <w:t>Based on Minutes No. 56/BB-HĐT dated December 17, 2022, regarding the regular meeting of the fourth quarter of 2022 of the Council of Quy Nhon University.</w:t>
      </w:r>
    </w:p>
    <w:p w:rsidR="00FD3833" w:rsidRDefault="009F0BB7">
      <w:pPr>
        <w:pStyle w:val="Heading10"/>
        <w:keepNext/>
        <w:keepLines/>
        <w:spacing w:after="100" w:line="360" w:lineRule="auto"/>
        <w:jc w:val="center"/>
      </w:pPr>
      <w:bookmarkStart w:id="0" w:name="bookmark3"/>
      <w:bookmarkStart w:id="1" w:name="bookmark4"/>
      <w:bookmarkStart w:id="2" w:name="bookmark5"/>
      <w:r w:rsidRPr="009F0BB7">
        <w:t>RESOLUTION</w:t>
      </w:r>
      <w:r w:rsidR="005921F2">
        <w:t>:</w:t>
      </w:r>
      <w:bookmarkEnd w:id="0"/>
      <w:bookmarkEnd w:id="1"/>
      <w:bookmarkEnd w:id="2"/>
    </w:p>
    <w:p w:rsidR="005C3B0A" w:rsidRPr="005C3B0A" w:rsidRDefault="005C3B0A" w:rsidP="005C3B0A">
      <w:pPr>
        <w:pStyle w:val="Bodytext20"/>
        <w:jc w:val="both"/>
        <w:rPr>
          <w:bCs/>
          <w:i w:val="0"/>
          <w:iCs w:val="0"/>
        </w:rPr>
      </w:pPr>
      <w:r w:rsidRPr="005C3B0A">
        <w:rPr>
          <w:b/>
          <w:i w:val="0"/>
          <w:iCs w:val="0"/>
        </w:rPr>
        <w:t>Article 1.</w:t>
      </w:r>
      <w:r w:rsidRPr="005C3B0A">
        <w:rPr>
          <w:bCs/>
          <w:i w:val="0"/>
          <w:iCs w:val="0"/>
        </w:rPr>
        <w:t> Approve the Report on the Activities of the Council of the University in the fourth quarter of 2022, the Report on the Activities of the Council of the University in 2022, and the Work Program for the first quarter of 2023 of the Council of the University.</w:t>
      </w:r>
    </w:p>
    <w:p w:rsidR="005C3B0A" w:rsidRPr="005C3B0A" w:rsidRDefault="005C3B0A" w:rsidP="005C3B0A">
      <w:pPr>
        <w:pStyle w:val="Bodytext20"/>
        <w:jc w:val="both"/>
        <w:rPr>
          <w:bCs/>
          <w:i w:val="0"/>
          <w:iCs w:val="0"/>
        </w:rPr>
      </w:pPr>
      <w:r w:rsidRPr="005C3B0A">
        <w:rPr>
          <w:b/>
          <w:i w:val="0"/>
          <w:iCs w:val="0"/>
        </w:rPr>
        <w:t>Article 2.</w:t>
      </w:r>
      <w:r w:rsidRPr="005C3B0A">
        <w:rPr>
          <w:bCs/>
          <w:i w:val="0"/>
          <w:iCs w:val="0"/>
        </w:rPr>
        <w:t> Issue the Work Program for 2023 of the Council of Quy Nhon University.</w:t>
      </w:r>
    </w:p>
    <w:p w:rsidR="005C3B0A" w:rsidRPr="005C3B0A" w:rsidRDefault="005C3B0A" w:rsidP="005C3B0A">
      <w:pPr>
        <w:pStyle w:val="Bodytext20"/>
        <w:jc w:val="both"/>
        <w:rPr>
          <w:bCs/>
          <w:i w:val="0"/>
          <w:iCs w:val="0"/>
        </w:rPr>
      </w:pPr>
      <w:r w:rsidRPr="005C3B0A">
        <w:rPr>
          <w:b/>
          <w:i w:val="0"/>
          <w:iCs w:val="0"/>
        </w:rPr>
        <w:t>Article 3.</w:t>
      </w:r>
      <w:r w:rsidRPr="005C3B0A">
        <w:rPr>
          <w:bCs/>
          <w:i w:val="0"/>
          <w:iCs w:val="0"/>
        </w:rPr>
        <w:t xml:space="preserve"> Approve the financial report and budget settlement report for the legitimate </w:t>
      </w:r>
      <w:r w:rsidRPr="005C3B0A">
        <w:rPr>
          <w:bCs/>
          <w:i w:val="0"/>
          <w:iCs w:val="0"/>
        </w:rPr>
        <w:lastRenderedPageBreak/>
        <w:t>sources of the University in 2021.</w:t>
      </w:r>
    </w:p>
    <w:p w:rsidR="005C3B0A" w:rsidRPr="005C3B0A" w:rsidRDefault="005C3B0A" w:rsidP="005C3B0A">
      <w:pPr>
        <w:pStyle w:val="Bodytext20"/>
        <w:jc w:val="both"/>
        <w:rPr>
          <w:bCs/>
          <w:i w:val="0"/>
          <w:iCs w:val="0"/>
        </w:rPr>
      </w:pPr>
      <w:r w:rsidRPr="005C3B0A">
        <w:rPr>
          <w:b/>
          <w:i w:val="0"/>
          <w:iCs w:val="0"/>
        </w:rPr>
        <w:t>Article 4.</w:t>
      </w:r>
      <w:r w:rsidRPr="005C3B0A">
        <w:rPr>
          <w:bCs/>
          <w:i w:val="0"/>
          <w:iCs w:val="0"/>
        </w:rPr>
        <w:t> Issue the Enrollment Plan for 2023 of Quy Nhon University.</w:t>
      </w:r>
    </w:p>
    <w:p w:rsidR="005C3B0A" w:rsidRPr="005C3B0A" w:rsidRDefault="005C3B0A" w:rsidP="005C3B0A">
      <w:pPr>
        <w:pStyle w:val="Bodytext20"/>
        <w:jc w:val="both"/>
        <w:rPr>
          <w:bCs/>
          <w:i w:val="0"/>
          <w:iCs w:val="0"/>
        </w:rPr>
      </w:pPr>
      <w:r w:rsidRPr="005C3B0A">
        <w:rPr>
          <w:b/>
          <w:i w:val="0"/>
          <w:iCs w:val="0"/>
        </w:rPr>
        <w:t>Article 5.</w:t>
      </w:r>
      <w:r w:rsidRPr="005C3B0A">
        <w:rPr>
          <w:bCs/>
          <w:i w:val="0"/>
          <w:iCs w:val="0"/>
        </w:rPr>
        <w:t> Issue the Monitoring Plan for the academic year 2022-2023 of the Council of Quy Nhon University.</w:t>
      </w:r>
    </w:p>
    <w:p w:rsidR="005C3B0A" w:rsidRDefault="005C3B0A" w:rsidP="005C3B0A">
      <w:pPr>
        <w:pStyle w:val="Bodytext20"/>
        <w:jc w:val="both"/>
        <w:rPr>
          <w:bCs/>
          <w:i w:val="0"/>
          <w:iCs w:val="0"/>
        </w:rPr>
      </w:pPr>
      <w:r w:rsidRPr="005C3B0A">
        <w:rPr>
          <w:bCs/>
          <w:i w:val="0"/>
          <w:iCs w:val="0"/>
        </w:rPr>
        <w:t>This resolution was approved by the Council of the University at 17:00 on December 17, 2022./.</w:t>
      </w:r>
    </w:p>
    <w:p w:rsidR="005C3B0A" w:rsidRDefault="005C3B0A" w:rsidP="005C3B0A">
      <w:pPr>
        <w:pStyle w:val="Bodytext20"/>
        <w:jc w:val="both"/>
        <w:rPr>
          <w:bCs/>
          <w:i w:val="0"/>
          <w:i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5C3B0A" w:rsidTr="005C3B0A">
        <w:tc>
          <w:tcPr>
            <w:tcW w:w="4673" w:type="dxa"/>
          </w:tcPr>
          <w:p w:rsidR="005C3B0A" w:rsidRDefault="005C3B0A" w:rsidP="005C3B0A">
            <w:pPr>
              <w:pStyle w:val="Bodytext20"/>
              <w:jc w:val="both"/>
              <w:rPr>
                <w:b/>
                <w:bCs/>
                <w:iCs w:val="0"/>
                <w:lang w:val="en-US"/>
              </w:rPr>
            </w:pPr>
            <w:r w:rsidRPr="005C3B0A">
              <w:rPr>
                <w:b/>
                <w:bCs/>
                <w:iCs w:val="0"/>
              </w:rPr>
              <w:t>Recipient</w:t>
            </w:r>
            <w:r w:rsidRPr="005C3B0A">
              <w:rPr>
                <w:b/>
                <w:bCs/>
                <w:iCs w:val="0"/>
                <w:lang w:val="en-US"/>
              </w:rPr>
              <w:t>:</w:t>
            </w:r>
            <w:r w:rsidRPr="005C3B0A">
              <w:rPr>
                <w:noProof/>
                <w:lang w:val="en-US" w:eastAsia="en-US" w:bidi="ar-SA"/>
              </w:rPr>
              <w:t xml:space="preserve"> </w:t>
            </w:r>
          </w:p>
          <w:p w:rsidR="005C3B0A" w:rsidRPr="005C3B0A" w:rsidRDefault="005C3B0A" w:rsidP="005C3B0A">
            <w:pPr>
              <w:pStyle w:val="ListParagraph"/>
              <w:widowControl/>
              <w:numPr>
                <w:ilvl w:val="0"/>
                <w:numId w:val="8"/>
              </w:numPr>
              <w:rPr>
                <w:rFonts w:ascii="Times New Roman" w:eastAsia="Times New Roman" w:hAnsi="Times New Roman" w:cs="Times New Roman"/>
                <w:color w:val="0E101A"/>
                <w:sz w:val="22"/>
                <w:lang w:val="en-US" w:eastAsia="en-US" w:bidi="ar-SA"/>
              </w:rPr>
            </w:pPr>
            <w:r w:rsidRPr="005C3B0A">
              <w:rPr>
                <w:rFonts w:ascii="Times New Roman" w:eastAsia="Times New Roman" w:hAnsi="Times New Roman" w:cs="Times New Roman"/>
                <w:color w:val="0E101A"/>
                <w:sz w:val="22"/>
                <w:lang w:val="en-US" w:eastAsia="en-US" w:bidi="ar-SA"/>
              </w:rPr>
              <w:t>Ministry of Education and Training (for reporting)</w:t>
            </w:r>
            <w:r w:rsidRPr="005C3B0A">
              <w:rPr>
                <w:b/>
                <w:bCs/>
                <w:sz w:val="22"/>
                <w:lang w:val="en-US"/>
              </w:rPr>
              <w:t xml:space="preserve"> </w:t>
            </w:r>
          </w:p>
          <w:p w:rsidR="005C3B0A" w:rsidRPr="005C3B0A" w:rsidRDefault="005C3B0A" w:rsidP="005C3B0A">
            <w:pPr>
              <w:pStyle w:val="ListParagraph"/>
              <w:widowControl/>
              <w:numPr>
                <w:ilvl w:val="0"/>
                <w:numId w:val="8"/>
              </w:numPr>
              <w:rPr>
                <w:rFonts w:ascii="Times New Roman" w:eastAsia="Times New Roman" w:hAnsi="Times New Roman" w:cs="Times New Roman"/>
                <w:color w:val="0E101A"/>
                <w:sz w:val="22"/>
                <w:lang w:val="en-US" w:eastAsia="en-US" w:bidi="ar-SA"/>
              </w:rPr>
            </w:pPr>
            <w:r w:rsidRPr="005C3B0A">
              <w:rPr>
                <w:rFonts w:ascii="Times New Roman" w:eastAsia="Times New Roman" w:hAnsi="Times New Roman" w:cs="Times New Roman"/>
                <w:color w:val="0E101A"/>
                <w:sz w:val="22"/>
                <w:lang w:val="en-US" w:eastAsia="en-US" w:bidi="ar-SA"/>
              </w:rPr>
              <w:t>Party Committee (for reporting)</w:t>
            </w:r>
            <w:r w:rsidRPr="005C3B0A">
              <w:rPr>
                <w:b/>
                <w:bCs/>
                <w:sz w:val="22"/>
                <w:lang w:val="en-US"/>
              </w:rPr>
              <w:t xml:space="preserve"> </w:t>
            </w:r>
          </w:p>
          <w:p w:rsidR="005C3B0A" w:rsidRPr="005C3B0A" w:rsidRDefault="005C3B0A" w:rsidP="005C3B0A">
            <w:pPr>
              <w:pStyle w:val="ListParagraph"/>
              <w:widowControl/>
              <w:numPr>
                <w:ilvl w:val="0"/>
                <w:numId w:val="8"/>
              </w:numPr>
              <w:rPr>
                <w:rFonts w:ascii="Times New Roman" w:eastAsia="Times New Roman" w:hAnsi="Times New Roman" w:cs="Times New Roman"/>
                <w:color w:val="0E101A"/>
                <w:sz w:val="22"/>
                <w:lang w:val="en-US" w:eastAsia="en-US" w:bidi="ar-SA"/>
              </w:rPr>
            </w:pPr>
            <w:r w:rsidRPr="005C3B0A">
              <w:rPr>
                <w:rFonts w:ascii="Times New Roman" w:eastAsia="Times New Roman" w:hAnsi="Times New Roman" w:cs="Times New Roman"/>
                <w:color w:val="0E101A"/>
                <w:sz w:val="22"/>
                <w:lang w:val="en-US" w:eastAsia="en-US" w:bidi="ar-SA"/>
              </w:rPr>
              <w:t>Rector and Vice-Rectors (for implementation)</w:t>
            </w:r>
          </w:p>
          <w:p w:rsidR="005C3B0A" w:rsidRPr="005C3B0A" w:rsidRDefault="005C3B0A" w:rsidP="005C3B0A">
            <w:pPr>
              <w:pStyle w:val="ListParagraph"/>
              <w:widowControl/>
              <w:numPr>
                <w:ilvl w:val="0"/>
                <w:numId w:val="8"/>
              </w:numPr>
              <w:rPr>
                <w:rFonts w:ascii="Times New Roman" w:eastAsia="Times New Roman" w:hAnsi="Times New Roman" w:cs="Times New Roman"/>
                <w:color w:val="0E101A"/>
                <w:lang w:val="en-US" w:eastAsia="en-US" w:bidi="ar-SA"/>
              </w:rPr>
            </w:pPr>
            <w:r w:rsidRPr="005C3B0A">
              <w:rPr>
                <w:rFonts w:ascii="Times New Roman" w:eastAsia="Times New Roman" w:hAnsi="Times New Roman" w:cs="Times New Roman"/>
                <w:color w:val="0E101A"/>
                <w:sz w:val="22"/>
                <w:lang w:val="en-US" w:eastAsia="en-US" w:bidi="ar-SA"/>
              </w:rPr>
              <w:t>Members of the Council (for implementation)."</w:t>
            </w:r>
          </w:p>
        </w:tc>
        <w:tc>
          <w:tcPr>
            <w:tcW w:w="4673" w:type="dxa"/>
          </w:tcPr>
          <w:p w:rsidR="005C3B0A" w:rsidRDefault="005C3B0A" w:rsidP="005C3B0A">
            <w:pPr>
              <w:pStyle w:val="Bodytext20"/>
              <w:ind w:firstLine="0"/>
              <w:jc w:val="right"/>
              <w:rPr>
                <w:bCs/>
                <w:i w:val="0"/>
                <w:iCs w:val="0"/>
              </w:rPr>
            </w:pPr>
            <w:r w:rsidRPr="005C3B0A">
              <w:rPr>
                <w:lang w:val="en-US"/>
              </w:rPr>
              <w:drawing>
                <wp:inline distT="0" distB="0" distL="0" distR="0" wp14:anchorId="69EDA942" wp14:editId="5D834163">
                  <wp:extent cx="2030730" cy="12770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51669" cy="1290253"/>
                          </a:xfrm>
                          <a:prstGeom prst="rect">
                            <a:avLst/>
                          </a:prstGeom>
                        </pic:spPr>
                      </pic:pic>
                    </a:graphicData>
                  </a:graphic>
                </wp:inline>
              </w:drawing>
            </w:r>
          </w:p>
        </w:tc>
      </w:tr>
    </w:tbl>
    <w:p w:rsidR="005C3B0A" w:rsidRDefault="005C3B0A" w:rsidP="005C3B0A">
      <w:pPr>
        <w:pStyle w:val="Bodytext20"/>
        <w:jc w:val="both"/>
        <w:rPr>
          <w:bCs/>
          <w:i w:val="0"/>
          <w:iCs w:val="0"/>
        </w:rPr>
      </w:pPr>
    </w:p>
    <w:p w:rsidR="005E3FC6" w:rsidRDefault="005E3FC6">
      <w:pPr>
        <w:rPr>
          <w:rFonts w:ascii="Times New Roman" w:eastAsia="Times New Roman" w:hAnsi="Times New Roman" w:cs="Times New Roman"/>
          <w:b/>
          <w:bCs/>
          <w:sz w:val="26"/>
          <w:szCs w:val="26"/>
        </w:rPr>
      </w:pPr>
      <w:bookmarkStart w:id="3" w:name="bookmark17"/>
      <w:bookmarkStart w:id="4" w:name="bookmark18"/>
      <w:bookmarkStart w:id="5" w:name="bookmark19"/>
      <w:r>
        <w:br w:type="page"/>
      </w:r>
    </w:p>
    <w:bookmarkEnd w:id="3"/>
    <w:bookmarkEnd w:id="4"/>
    <w:bookmarkEnd w:id="5"/>
    <w:p w:rsidR="00FD3833" w:rsidRDefault="005E3FC6">
      <w:pPr>
        <w:pStyle w:val="Heading10"/>
        <w:keepNext/>
        <w:keepLines/>
        <w:spacing w:before="360" w:after="0" w:line="259" w:lineRule="auto"/>
        <w:jc w:val="center"/>
      </w:pPr>
      <w:r>
        <w:rPr>
          <w:lang w:val="en-US"/>
        </w:rPr>
        <w:lastRenderedPageBreak/>
        <w:t>E</w:t>
      </w:r>
      <w:r w:rsidRPr="005E3FC6">
        <w:t>NROLLMENT DIRECTION FOR THE YEAR 2023 OF QUY NHON UNIVERSITY</w:t>
      </w:r>
    </w:p>
    <w:p w:rsidR="00FD3833" w:rsidRDefault="005E3FC6">
      <w:pPr>
        <w:pStyle w:val="BodyText"/>
        <w:spacing w:after="540" w:line="259" w:lineRule="auto"/>
        <w:jc w:val="center"/>
        <w:rPr>
          <w:i/>
          <w:iCs/>
        </w:rPr>
      </w:pPr>
      <w:r>
        <w:rPr>
          <w:i/>
          <w:iCs/>
        </w:rPr>
        <w:t>(</w:t>
      </w:r>
      <w:r w:rsidRPr="005E3FC6">
        <w:rPr>
          <w:i/>
          <w:iCs/>
        </w:rPr>
        <w:t>The issuance is accompanied by Resolution No. 57/NQ-HĐT dated December 19, 2022, of the Council of Quy Nho</w:t>
      </w:r>
      <w:r>
        <w:rPr>
          <w:i/>
          <w:iCs/>
        </w:rPr>
        <w:t>n University</w:t>
      </w:r>
      <w:r w:rsidR="005921F2">
        <w:rPr>
          <w:i/>
          <w:iCs/>
        </w:rPr>
        <w:t>)</w:t>
      </w:r>
    </w:p>
    <w:p w:rsidR="00087D70" w:rsidRPr="00087D70" w:rsidRDefault="00087D70" w:rsidP="00087D70">
      <w:pPr>
        <w:pStyle w:val="BodyText"/>
        <w:spacing w:line="286" w:lineRule="auto"/>
        <w:jc w:val="both"/>
        <w:rPr>
          <w:b/>
        </w:rPr>
      </w:pPr>
      <w:bookmarkStart w:id="6" w:name="bookmark22"/>
      <w:bookmarkStart w:id="7" w:name="bookmark20"/>
      <w:bookmarkStart w:id="8" w:name="bookmark21"/>
      <w:bookmarkStart w:id="9" w:name="bookmark23"/>
      <w:bookmarkEnd w:id="6"/>
      <w:r w:rsidRPr="00087D70">
        <w:rPr>
          <w:b/>
        </w:rPr>
        <w:t>I. REGULAR UNDERGRADUATE ADMISSIONS</w:t>
      </w:r>
    </w:p>
    <w:p w:rsidR="00087D70" w:rsidRPr="00087D70" w:rsidRDefault="00087D70" w:rsidP="00087D70">
      <w:pPr>
        <w:pStyle w:val="BodyText"/>
        <w:spacing w:line="286" w:lineRule="auto"/>
        <w:jc w:val="both"/>
      </w:pPr>
      <w:r>
        <w:rPr>
          <w:lang w:val="en-US"/>
        </w:rPr>
        <w:t xml:space="preserve">1. </w:t>
      </w:r>
      <w:r w:rsidRPr="00087D70">
        <w:t xml:space="preserve">The total enrollment quota is </w:t>
      </w:r>
      <w:r w:rsidRPr="00087D70">
        <w:rPr>
          <w:b/>
        </w:rPr>
        <w:t>5879</w:t>
      </w:r>
      <w:r w:rsidRPr="00087D70">
        <w:t xml:space="preserve"> slots. Among them, the quota for teacher training programs based on capacity is </w:t>
      </w:r>
      <w:r w:rsidRPr="00087D70">
        <w:rPr>
          <w:b/>
        </w:rPr>
        <w:t>1874</w:t>
      </w:r>
      <w:r w:rsidRPr="00087D70">
        <w:t xml:space="preserve"> (official quotas for each teacher training program determined by the Ministry of Education and Training).</w:t>
      </w:r>
    </w:p>
    <w:p w:rsidR="00087D70" w:rsidRPr="00087D70" w:rsidRDefault="00087D70" w:rsidP="00087D70">
      <w:pPr>
        <w:pStyle w:val="BodyText"/>
        <w:spacing w:line="286" w:lineRule="auto"/>
        <w:jc w:val="both"/>
      </w:pPr>
      <w:r>
        <w:rPr>
          <w:lang w:val="en-US"/>
        </w:rPr>
        <w:t xml:space="preserve">2. </w:t>
      </w:r>
      <w:r w:rsidRPr="00087D70">
        <w:t>Admission methods:</w:t>
      </w:r>
    </w:p>
    <w:p w:rsidR="00087D70" w:rsidRPr="00087D70" w:rsidRDefault="00087D70" w:rsidP="00087D70">
      <w:pPr>
        <w:pStyle w:val="BodyText"/>
        <w:spacing w:line="286" w:lineRule="auto"/>
        <w:ind w:firstLine="700"/>
        <w:jc w:val="both"/>
      </w:pPr>
      <w:r w:rsidRPr="00087D70">
        <w:t>Method 1 (M1): The admission is based on the national high school graduation examination 2023 results.</w:t>
      </w:r>
    </w:p>
    <w:p w:rsidR="00087D70" w:rsidRPr="00087D70" w:rsidRDefault="00087D70" w:rsidP="00087D70">
      <w:pPr>
        <w:pStyle w:val="BodyText"/>
        <w:spacing w:line="286" w:lineRule="auto"/>
        <w:ind w:firstLine="700"/>
        <w:jc w:val="both"/>
      </w:pPr>
      <w:r w:rsidRPr="00087D70">
        <w:t>Method 2 (M2): Admission based on high school academic records.</w:t>
      </w:r>
    </w:p>
    <w:p w:rsidR="00087D70" w:rsidRPr="00087D70" w:rsidRDefault="00087D70" w:rsidP="00087D70">
      <w:pPr>
        <w:pStyle w:val="BodyText"/>
        <w:spacing w:line="286" w:lineRule="auto"/>
        <w:ind w:firstLine="700"/>
        <w:jc w:val="both"/>
      </w:pPr>
      <w:r w:rsidRPr="00087D70">
        <w:t>Method 3 (M3): Admission based on the national aptitude and reasoning test results conducted by national universities and other universities.</w:t>
      </w:r>
    </w:p>
    <w:p w:rsidR="00087D70" w:rsidRPr="00087D70" w:rsidRDefault="00087D70" w:rsidP="00087D70">
      <w:pPr>
        <w:pStyle w:val="BodyText"/>
        <w:spacing w:line="286" w:lineRule="auto"/>
        <w:ind w:firstLine="700"/>
        <w:jc w:val="both"/>
      </w:pPr>
      <w:r w:rsidRPr="00087D70">
        <w:t>Method 4 (M4): Direct admission based on admission regulations.</w:t>
      </w:r>
    </w:p>
    <w:p w:rsidR="00087D70" w:rsidRPr="00087D70" w:rsidRDefault="00087D70" w:rsidP="00087D70">
      <w:pPr>
        <w:pStyle w:val="BodyText"/>
        <w:spacing w:line="286" w:lineRule="auto"/>
        <w:jc w:val="both"/>
      </w:pPr>
      <w:r>
        <w:rPr>
          <w:lang w:val="en-US"/>
        </w:rPr>
        <w:t xml:space="preserve">3. </w:t>
      </w:r>
      <w:r w:rsidRPr="00087D70">
        <w:t>Talent examination for Preschool Education and Physical Education majors: The results will be used for comprehensive evaluation in Methods 1 and 2.</w:t>
      </w:r>
    </w:p>
    <w:p w:rsidR="00087D70" w:rsidRPr="00087D70" w:rsidRDefault="00087D70" w:rsidP="00087D70">
      <w:pPr>
        <w:pStyle w:val="BodyText"/>
        <w:spacing w:line="286" w:lineRule="auto"/>
        <w:jc w:val="both"/>
      </w:pPr>
      <w:r>
        <w:rPr>
          <w:lang w:val="en-US"/>
        </w:rPr>
        <w:t xml:space="preserve">4. </w:t>
      </w:r>
      <w:r w:rsidRPr="00087D70">
        <w:t>Number of majors available for admission: 48 (refer to Appendix 1 attached</w:t>
      </w:r>
      <w:r>
        <w:rPr>
          <w:lang w:val="en-US"/>
        </w:rPr>
        <w:t>)</w:t>
      </w:r>
      <w:r w:rsidRPr="00087D70">
        <w:t xml:space="preserve">, including 48 undergraduate programs, </w:t>
      </w:r>
      <w:r>
        <w:rPr>
          <w:lang w:val="en-US"/>
        </w:rPr>
        <w:t>0</w:t>
      </w:r>
      <w:r w:rsidRPr="00087D70">
        <w:t xml:space="preserve">1 high-quality accounting program, and an estimated </w:t>
      </w:r>
      <w:r>
        <w:rPr>
          <w:lang w:val="en-US"/>
        </w:rPr>
        <w:t>0</w:t>
      </w:r>
      <w:r w:rsidRPr="00087D70">
        <w:t xml:space="preserve">3 </w:t>
      </w:r>
      <w:r w:rsidR="00D94470" w:rsidRPr="00D94470">
        <w:t>Collaborative</w:t>
      </w:r>
      <w:r w:rsidR="00D94470" w:rsidRPr="00D94470">
        <w:t xml:space="preserve"> </w:t>
      </w:r>
      <w:r w:rsidRPr="00087D70">
        <w:t xml:space="preserve">programs with the University of </w:t>
      </w:r>
      <w:r>
        <w:t xml:space="preserve">Birmingham, United Kingdom, </w:t>
      </w:r>
      <w:r>
        <w:rPr>
          <w:lang w:val="en-US"/>
        </w:rPr>
        <w:t xml:space="preserve">(including </w:t>
      </w:r>
      <w:r w:rsidRPr="00087D70">
        <w:t>English Language, Information Technology, and Accounting).</w:t>
      </w:r>
    </w:p>
    <w:p w:rsidR="00087D70" w:rsidRPr="00087D70" w:rsidRDefault="00D94470" w:rsidP="00D94470">
      <w:pPr>
        <w:pStyle w:val="BodyText"/>
        <w:spacing w:line="286" w:lineRule="auto"/>
        <w:jc w:val="both"/>
      </w:pPr>
      <w:r>
        <w:rPr>
          <w:lang w:val="en-US"/>
        </w:rPr>
        <w:t xml:space="preserve">5. </w:t>
      </w:r>
      <w:r w:rsidR="00087D70" w:rsidRPr="00087D70">
        <w:t>Admission organization:</w:t>
      </w:r>
    </w:p>
    <w:p w:rsidR="00087D70" w:rsidRPr="00087D70" w:rsidRDefault="00087D70" w:rsidP="00087D70">
      <w:pPr>
        <w:pStyle w:val="BodyText"/>
        <w:spacing w:line="286" w:lineRule="auto"/>
        <w:ind w:firstLine="700"/>
        <w:jc w:val="both"/>
      </w:pPr>
      <w:r w:rsidRPr="00087D70">
        <w:t>M1, M4: Participate in the admission process organized by the Ministry of Education and Training and join the Virtual Screening Group in the South. Approximately 50% of the total enrollment quota will be admitted through these methods.</w:t>
      </w:r>
    </w:p>
    <w:p w:rsidR="00087D70" w:rsidRPr="00087D70" w:rsidRDefault="00087D70" w:rsidP="00087D70">
      <w:pPr>
        <w:pStyle w:val="BodyText"/>
        <w:spacing w:line="286" w:lineRule="auto"/>
        <w:ind w:firstLine="700"/>
        <w:jc w:val="both"/>
      </w:pPr>
      <w:r w:rsidRPr="00087D70">
        <w:t>M2, M3: Admission will be organized as of 2022, with online admission (if early admission methods are available). Approximately 50% of the total enrollment quota will be admitted through these methods.</w:t>
      </w:r>
    </w:p>
    <w:p w:rsidR="00087D70" w:rsidRPr="00087D70" w:rsidRDefault="00D94470" w:rsidP="00D94470">
      <w:pPr>
        <w:pStyle w:val="BodyText"/>
        <w:spacing w:line="286" w:lineRule="auto"/>
        <w:jc w:val="both"/>
      </w:pPr>
      <w:r>
        <w:rPr>
          <w:lang w:val="en-US"/>
        </w:rPr>
        <w:t xml:space="preserve">6. </w:t>
      </w:r>
      <w:r w:rsidR="00087D70" w:rsidRPr="00087D70">
        <w:t>Minimum entrance qualification:</w:t>
      </w:r>
    </w:p>
    <w:p w:rsidR="00087D70" w:rsidRPr="00087D70" w:rsidRDefault="00087D70" w:rsidP="00087D70">
      <w:pPr>
        <w:pStyle w:val="BodyText"/>
        <w:spacing w:line="286" w:lineRule="auto"/>
        <w:ind w:firstLine="700"/>
        <w:jc w:val="both"/>
      </w:pPr>
      <w:r w:rsidRPr="00087D70">
        <w:t>M1: Teacher training programs follow the regulations of the Ministry of Education and Training; for other majors, the minimum qualification will be determined after the results of the national high school graduation examination are available.</w:t>
      </w:r>
    </w:p>
    <w:p w:rsidR="00087D70" w:rsidRPr="00087D70" w:rsidRDefault="00087D70" w:rsidP="00087D70">
      <w:pPr>
        <w:pStyle w:val="BodyText"/>
        <w:spacing w:line="286" w:lineRule="auto"/>
        <w:ind w:firstLine="700"/>
        <w:jc w:val="both"/>
      </w:pPr>
      <w:r w:rsidRPr="00087D70">
        <w:t>M2: Teacher training programs follow the current admission regulations; for other majors, the minimum average score of 3 subjects considered for admission is at least 18.0 (including priority points according to admission regulations).</w:t>
      </w:r>
    </w:p>
    <w:p w:rsidR="00087D70" w:rsidRPr="00087D70" w:rsidRDefault="00087D70" w:rsidP="00087D70">
      <w:pPr>
        <w:pStyle w:val="BodyText"/>
        <w:spacing w:line="286" w:lineRule="auto"/>
        <w:ind w:firstLine="700"/>
        <w:jc w:val="both"/>
      </w:pPr>
      <w:r w:rsidRPr="00087D70">
        <w:lastRenderedPageBreak/>
        <w:t>M3: Depends on the examination results conducted by the respective universities.</w:t>
      </w:r>
    </w:p>
    <w:p w:rsidR="00D94470" w:rsidRDefault="00D94470" w:rsidP="00D94470">
      <w:pPr>
        <w:pStyle w:val="BodyText"/>
        <w:spacing w:line="286" w:lineRule="auto"/>
        <w:jc w:val="both"/>
      </w:pPr>
      <w:r>
        <w:rPr>
          <w:lang w:val="en-US"/>
        </w:rPr>
        <w:t xml:space="preserve">7. </w:t>
      </w:r>
      <w:r w:rsidR="00087D70" w:rsidRPr="00087D70">
        <w:t>Admission fees: Follow the general regulations of the Ministry of Education and Training.</w:t>
      </w:r>
    </w:p>
    <w:p w:rsidR="00087D70" w:rsidRDefault="00D94470" w:rsidP="00D94470">
      <w:pPr>
        <w:pStyle w:val="BodyText"/>
        <w:spacing w:line="286" w:lineRule="auto"/>
        <w:jc w:val="both"/>
      </w:pPr>
      <w:r>
        <w:rPr>
          <w:lang w:val="en-US"/>
        </w:rPr>
        <w:t xml:space="preserve">8. </w:t>
      </w:r>
      <w:r w:rsidR="00087D70" w:rsidRPr="00087D70">
        <w:t>Tuition fees: Undergraduate programs follow Decree No. 81/2021/ND-CP; high-quality training programs are determined based on economic-technical norms.</w:t>
      </w:r>
    </w:p>
    <w:p w:rsidR="00D94470" w:rsidRPr="00D94470" w:rsidRDefault="00D94470" w:rsidP="00D94470">
      <w:pPr>
        <w:pStyle w:val="BodyText"/>
        <w:spacing w:line="286" w:lineRule="auto"/>
        <w:jc w:val="both"/>
        <w:rPr>
          <w:b/>
        </w:rPr>
      </w:pPr>
      <w:r w:rsidRPr="00D94470">
        <w:rPr>
          <w:b/>
          <w:color w:val="0E101A"/>
          <w:lang w:val="en-US" w:eastAsia="en-US" w:bidi="ar-SA"/>
        </w:rPr>
        <w:t xml:space="preserve">II. </w:t>
      </w:r>
      <w:r w:rsidRPr="00D94470">
        <w:rPr>
          <w:b/>
        </w:rPr>
        <w:t>ADMISSIONS FOR PART-TIME UNDERGRADUATE PROGRAMS</w:t>
      </w:r>
    </w:p>
    <w:p w:rsidR="00D94470" w:rsidRPr="00D94470" w:rsidRDefault="00342496" w:rsidP="00342496">
      <w:pPr>
        <w:pStyle w:val="BodyText"/>
        <w:spacing w:line="286" w:lineRule="auto"/>
        <w:jc w:val="both"/>
        <w:rPr>
          <w:lang w:val="en-US"/>
        </w:rPr>
      </w:pPr>
      <w:r>
        <w:rPr>
          <w:lang w:val="en-US"/>
        </w:rPr>
        <w:t xml:space="preserve">1. </w:t>
      </w:r>
      <w:r w:rsidR="00D94470" w:rsidRPr="00D94470">
        <w:rPr>
          <w:lang w:val="en-US"/>
        </w:rPr>
        <w:t>Total enrollment quota: Dependent on the regular full-time program quota: 30% of the total quota for non-teacher training disciplines; 50% of the regular quota for teacher training disciplines; enrollment quota for post-secondary programs for specified candidates (non-bidding) as stipulated in Decree 71, adjusted according to Circular 03 (if applicable).</w:t>
      </w:r>
    </w:p>
    <w:p w:rsidR="00D94470" w:rsidRPr="00D94470" w:rsidRDefault="00342496" w:rsidP="00342496">
      <w:pPr>
        <w:pStyle w:val="BodyText"/>
        <w:spacing w:line="286" w:lineRule="auto"/>
        <w:jc w:val="both"/>
        <w:rPr>
          <w:lang w:val="en-US"/>
        </w:rPr>
      </w:pPr>
      <w:r>
        <w:rPr>
          <w:lang w:val="en-US"/>
        </w:rPr>
        <w:t xml:space="preserve">2. </w:t>
      </w:r>
      <w:r w:rsidR="00D94470" w:rsidRPr="00D94470">
        <w:rPr>
          <w:lang w:val="en-US"/>
        </w:rPr>
        <w:t>Admission method is Selection-based admission according to the current admission regulations.</w:t>
      </w:r>
    </w:p>
    <w:p w:rsidR="00D94470" w:rsidRPr="00D94470" w:rsidRDefault="00342496" w:rsidP="00342496">
      <w:pPr>
        <w:pStyle w:val="BodyText"/>
        <w:spacing w:line="286" w:lineRule="auto"/>
        <w:jc w:val="both"/>
        <w:rPr>
          <w:lang w:val="en-US"/>
        </w:rPr>
      </w:pPr>
      <w:r>
        <w:rPr>
          <w:lang w:val="en-US"/>
        </w:rPr>
        <w:t xml:space="preserve">3. </w:t>
      </w:r>
      <w:r w:rsidR="00D94470" w:rsidRPr="00D94470">
        <w:rPr>
          <w:lang w:val="en-US"/>
        </w:rPr>
        <w:t>Several majors are available for admission: 26 (see Appendix 2 attached).</w:t>
      </w:r>
    </w:p>
    <w:p w:rsidR="00D94470" w:rsidRPr="00D94470" w:rsidRDefault="00342496" w:rsidP="00342496">
      <w:pPr>
        <w:pStyle w:val="BodyText"/>
        <w:spacing w:line="286" w:lineRule="auto"/>
        <w:jc w:val="both"/>
        <w:rPr>
          <w:lang w:val="en-US"/>
        </w:rPr>
      </w:pPr>
      <w:r>
        <w:rPr>
          <w:lang w:val="en-US"/>
        </w:rPr>
        <w:t xml:space="preserve">4. </w:t>
      </w:r>
      <w:r w:rsidR="00D94470" w:rsidRPr="00D94470">
        <w:rPr>
          <w:lang w:val="en-US"/>
        </w:rPr>
        <w:t>Admission organization: Multiple rounds throughout the year.</w:t>
      </w:r>
    </w:p>
    <w:p w:rsidR="00D94470" w:rsidRPr="00D94470" w:rsidRDefault="00342496" w:rsidP="00342496">
      <w:pPr>
        <w:pStyle w:val="BodyText"/>
        <w:spacing w:line="286" w:lineRule="auto"/>
        <w:jc w:val="both"/>
        <w:rPr>
          <w:lang w:val="en-US"/>
        </w:rPr>
      </w:pPr>
      <w:r>
        <w:rPr>
          <w:lang w:val="en-US"/>
        </w:rPr>
        <w:t xml:space="preserve">5. </w:t>
      </w:r>
      <w:r w:rsidR="00D94470" w:rsidRPr="00D94470">
        <w:rPr>
          <w:lang w:val="en-US"/>
        </w:rPr>
        <w:t>Minimum entrance qualification: According to the current admission regulations.</w:t>
      </w:r>
    </w:p>
    <w:p w:rsidR="00D94470" w:rsidRPr="00D94470" w:rsidRDefault="00342496" w:rsidP="00342496">
      <w:pPr>
        <w:pStyle w:val="BodyText"/>
        <w:spacing w:line="286" w:lineRule="auto"/>
        <w:jc w:val="both"/>
        <w:rPr>
          <w:lang w:val="en-US"/>
        </w:rPr>
      </w:pPr>
      <w:r>
        <w:rPr>
          <w:lang w:val="en-US"/>
        </w:rPr>
        <w:t xml:space="preserve">6. </w:t>
      </w:r>
      <w:r w:rsidR="00D94470" w:rsidRPr="00D94470">
        <w:rPr>
          <w:lang w:val="en-US"/>
        </w:rPr>
        <w:t>Admission fees: According to the university's regulations.</w:t>
      </w:r>
    </w:p>
    <w:p w:rsidR="00D94470" w:rsidRPr="00D94470" w:rsidRDefault="00342496" w:rsidP="00342496">
      <w:pPr>
        <w:pStyle w:val="BodyText"/>
        <w:spacing w:line="286" w:lineRule="auto"/>
        <w:jc w:val="both"/>
        <w:rPr>
          <w:lang w:val="en-US"/>
        </w:rPr>
      </w:pPr>
      <w:r>
        <w:rPr>
          <w:lang w:val="en-US"/>
        </w:rPr>
        <w:t xml:space="preserve">7. </w:t>
      </w:r>
      <w:r w:rsidR="00D94470" w:rsidRPr="00D94470">
        <w:rPr>
          <w:lang w:val="en-US"/>
        </w:rPr>
        <w:t>Tuition fees: According to Decree No. 81/2021/ND-CP.</w:t>
      </w:r>
    </w:p>
    <w:p w:rsidR="00D94470" w:rsidRPr="00D94470" w:rsidRDefault="00342496" w:rsidP="00342496">
      <w:pPr>
        <w:pStyle w:val="BodyText"/>
        <w:spacing w:line="286" w:lineRule="auto"/>
        <w:jc w:val="both"/>
        <w:rPr>
          <w:b/>
          <w:lang w:val="en-US"/>
        </w:rPr>
      </w:pPr>
      <w:r w:rsidRPr="00342496">
        <w:rPr>
          <w:b/>
          <w:lang w:val="en-US"/>
        </w:rPr>
        <w:t>II</w:t>
      </w:r>
      <w:r>
        <w:rPr>
          <w:b/>
          <w:lang w:val="en-US"/>
        </w:rPr>
        <w:t>I</w:t>
      </w:r>
      <w:r w:rsidR="00D94470" w:rsidRPr="00D94470">
        <w:rPr>
          <w:b/>
          <w:lang w:val="en-US"/>
        </w:rPr>
        <w:t>. POSTGRADUATE ADMISSIONS</w:t>
      </w:r>
    </w:p>
    <w:p w:rsidR="00D94470" w:rsidRPr="00D94470" w:rsidRDefault="00342496" w:rsidP="00342496">
      <w:pPr>
        <w:pStyle w:val="BodyText"/>
        <w:spacing w:line="286" w:lineRule="auto"/>
        <w:jc w:val="both"/>
        <w:rPr>
          <w:lang w:val="en-US"/>
        </w:rPr>
      </w:pPr>
      <w:r>
        <w:rPr>
          <w:lang w:val="en-US"/>
        </w:rPr>
        <w:t xml:space="preserve">1. </w:t>
      </w:r>
      <w:r w:rsidR="00D94470" w:rsidRPr="00D94470">
        <w:rPr>
          <w:lang w:val="en-US"/>
        </w:rPr>
        <w:t>Doctoral level:</w:t>
      </w:r>
    </w:p>
    <w:p w:rsidR="00D94470" w:rsidRPr="00D94470" w:rsidRDefault="00D94470" w:rsidP="00342496">
      <w:pPr>
        <w:pStyle w:val="BodyText"/>
        <w:numPr>
          <w:ilvl w:val="0"/>
          <w:numId w:val="23"/>
        </w:numPr>
        <w:spacing w:line="286" w:lineRule="auto"/>
        <w:jc w:val="both"/>
        <w:rPr>
          <w:lang w:val="en-US"/>
        </w:rPr>
      </w:pPr>
      <w:r w:rsidRPr="00D94470">
        <w:rPr>
          <w:lang w:val="en-US"/>
        </w:rPr>
        <w:t>The total enrollment quota is estimated at 15 slots.</w:t>
      </w:r>
    </w:p>
    <w:p w:rsidR="00D94470" w:rsidRPr="00D94470" w:rsidRDefault="00D94470" w:rsidP="00342496">
      <w:pPr>
        <w:pStyle w:val="BodyText"/>
        <w:numPr>
          <w:ilvl w:val="0"/>
          <w:numId w:val="23"/>
        </w:numPr>
        <w:spacing w:line="286" w:lineRule="auto"/>
        <w:jc w:val="both"/>
        <w:rPr>
          <w:lang w:val="en-US"/>
        </w:rPr>
      </w:pPr>
      <w:r w:rsidRPr="00D94470">
        <w:rPr>
          <w:lang w:val="en-US"/>
        </w:rPr>
        <w:t>Majors available for admission are Analytical Mathematics, Algebra, and Number Theory; Theoretical Physics and Physical Chemistry.</w:t>
      </w:r>
    </w:p>
    <w:p w:rsidR="00D94470" w:rsidRPr="00D94470" w:rsidRDefault="00D94470" w:rsidP="00342496">
      <w:pPr>
        <w:pStyle w:val="BodyText"/>
        <w:numPr>
          <w:ilvl w:val="0"/>
          <w:numId w:val="23"/>
        </w:numPr>
        <w:spacing w:line="286" w:lineRule="auto"/>
        <w:jc w:val="both"/>
        <w:rPr>
          <w:lang w:val="en-US"/>
        </w:rPr>
      </w:pPr>
      <w:r w:rsidRPr="00D94470">
        <w:rPr>
          <w:lang w:val="en-US"/>
        </w:rPr>
        <w:t>The admission method is Selection-based admission.</w:t>
      </w:r>
    </w:p>
    <w:p w:rsidR="00D94470" w:rsidRPr="00D94470" w:rsidRDefault="00D94470" w:rsidP="00342496">
      <w:pPr>
        <w:pStyle w:val="BodyText"/>
        <w:numPr>
          <w:ilvl w:val="0"/>
          <w:numId w:val="23"/>
        </w:numPr>
        <w:spacing w:line="286" w:lineRule="auto"/>
        <w:jc w:val="both"/>
        <w:rPr>
          <w:lang w:val="en-US"/>
        </w:rPr>
      </w:pPr>
      <w:r w:rsidRPr="00D94470">
        <w:rPr>
          <w:lang w:val="en-US"/>
        </w:rPr>
        <w:t>Minimum entrance qualification: According to the current regulations.</w:t>
      </w:r>
    </w:p>
    <w:p w:rsidR="00D94470" w:rsidRPr="00D94470" w:rsidRDefault="00D94470" w:rsidP="00342496">
      <w:pPr>
        <w:pStyle w:val="BodyText"/>
        <w:numPr>
          <w:ilvl w:val="0"/>
          <w:numId w:val="23"/>
        </w:numPr>
        <w:spacing w:line="286" w:lineRule="auto"/>
        <w:jc w:val="both"/>
        <w:rPr>
          <w:lang w:val="en-US"/>
        </w:rPr>
      </w:pPr>
      <w:r w:rsidRPr="00D94470">
        <w:rPr>
          <w:lang w:val="en-US"/>
        </w:rPr>
        <w:t>Admission fees: According to the regulations of Quy Nhon University,</w:t>
      </w:r>
    </w:p>
    <w:p w:rsidR="00D94470" w:rsidRPr="00D94470" w:rsidRDefault="00D94470" w:rsidP="00342496">
      <w:pPr>
        <w:pStyle w:val="BodyText"/>
        <w:numPr>
          <w:ilvl w:val="0"/>
          <w:numId w:val="23"/>
        </w:numPr>
        <w:spacing w:line="286" w:lineRule="auto"/>
        <w:jc w:val="both"/>
        <w:rPr>
          <w:lang w:val="en-US"/>
        </w:rPr>
      </w:pPr>
      <w:r w:rsidRPr="00D94470">
        <w:rPr>
          <w:lang w:val="en-US"/>
        </w:rPr>
        <w:t>Tuition fees: According to Decree No. 81/2021/ND-CP.</w:t>
      </w:r>
    </w:p>
    <w:p w:rsidR="00D94470" w:rsidRPr="00D94470" w:rsidRDefault="00342496" w:rsidP="00342496">
      <w:pPr>
        <w:pStyle w:val="BodyText"/>
        <w:spacing w:line="286" w:lineRule="auto"/>
        <w:jc w:val="both"/>
        <w:rPr>
          <w:lang w:val="en-US"/>
        </w:rPr>
      </w:pPr>
      <w:r>
        <w:rPr>
          <w:lang w:val="en-US"/>
        </w:rPr>
        <w:t xml:space="preserve">2. </w:t>
      </w:r>
      <w:r w:rsidR="00D94470" w:rsidRPr="00D94470">
        <w:rPr>
          <w:lang w:val="en-US"/>
        </w:rPr>
        <w:t>Master's level:</w:t>
      </w:r>
    </w:p>
    <w:p w:rsidR="00D94470" w:rsidRPr="00D94470" w:rsidRDefault="00D94470" w:rsidP="00342496">
      <w:pPr>
        <w:pStyle w:val="BodyText"/>
        <w:numPr>
          <w:ilvl w:val="0"/>
          <w:numId w:val="24"/>
        </w:numPr>
        <w:spacing w:line="286" w:lineRule="auto"/>
        <w:jc w:val="both"/>
        <w:rPr>
          <w:lang w:val="en-US"/>
        </w:rPr>
      </w:pPr>
      <w:r w:rsidRPr="00D94470">
        <w:rPr>
          <w:lang w:val="en-US"/>
        </w:rPr>
        <w:t>The total enrollment quota is estimated at 1125 slots.</w:t>
      </w:r>
    </w:p>
    <w:p w:rsidR="00D94470" w:rsidRPr="00D94470" w:rsidRDefault="00D94470" w:rsidP="00342496">
      <w:pPr>
        <w:pStyle w:val="BodyText"/>
        <w:numPr>
          <w:ilvl w:val="0"/>
          <w:numId w:val="24"/>
        </w:numPr>
        <w:spacing w:line="286" w:lineRule="auto"/>
        <w:jc w:val="both"/>
        <w:rPr>
          <w:lang w:val="en-US"/>
        </w:rPr>
      </w:pPr>
      <w:r w:rsidRPr="00D94470">
        <w:rPr>
          <w:lang w:val="en-US"/>
        </w:rPr>
        <w:t xml:space="preserve">Number of majors available for admission: 23 </w:t>
      </w:r>
      <w:r w:rsidRPr="00D94470">
        <w:rPr>
          <w:i/>
          <w:lang w:val="en-US"/>
        </w:rPr>
        <w:t>(see Appendix 3 attached)</w:t>
      </w:r>
      <w:r w:rsidRPr="00D94470">
        <w:rPr>
          <w:lang w:val="en-US"/>
        </w:rPr>
        <w:t xml:space="preserve">, including the planned new majors: Theory and Methods of Teaching Chemistry; Finance - Banking </w:t>
      </w:r>
      <w:r w:rsidRPr="00D94470">
        <w:rPr>
          <w:i/>
          <w:lang w:val="en-US"/>
        </w:rPr>
        <w:t>(admissions will be conducted after completing the program establishment procedures)</w:t>
      </w:r>
      <w:r w:rsidRPr="00D94470">
        <w:rPr>
          <w:lang w:val="en-US"/>
        </w:rPr>
        <w:t>.</w:t>
      </w:r>
    </w:p>
    <w:p w:rsidR="00D94470" w:rsidRPr="00D94470" w:rsidRDefault="00D94470" w:rsidP="00342496">
      <w:pPr>
        <w:pStyle w:val="BodyText"/>
        <w:numPr>
          <w:ilvl w:val="0"/>
          <w:numId w:val="24"/>
        </w:numPr>
        <w:spacing w:line="286" w:lineRule="auto"/>
        <w:jc w:val="both"/>
        <w:rPr>
          <w:lang w:val="en-US"/>
        </w:rPr>
      </w:pPr>
      <w:r w:rsidRPr="00D94470">
        <w:rPr>
          <w:lang w:val="en-US"/>
        </w:rPr>
        <w:t>The admission method is Selection-based admission.</w:t>
      </w:r>
    </w:p>
    <w:p w:rsidR="00D94470" w:rsidRPr="00D94470" w:rsidRDefault="00D94470" w:rsidP="00342496">
      <w:pPr>
        <w:pStyle w:val="BodyText"/>
        <w:numPr>
          <w:ilvl w:val="0"/>
          <w:numId w:val="24"/>
        </w:numPr>
        <w:spacing w:line="286" w:lineRule="auto"/>
        <w:jc w:val="both"/>
        <w:rPr>
          <w:lang w:val="en-US"/>
        </w:rPr>
      </w:pPr>
      <w:r w:rsidRPr="00D94470">
        <w:rPr>
          <w:lang w:val="en-US"/>
        </w:rPr>
        <w:t>Minimum entrance qualification: According to the current regulations.</w:t>
      </w:r>
    </w:p>
    <w:p w:rsidR="00D94470" w:rsidRPr="00D94470" w:rsidRDefault="00D94470" w:rsidP="00342496">
      <w:pPr>
        <w:pStyle w:val="BodyText"/>
        <w:numPr>
          <w:ilvl w:val="0"/>
          <w:numId w:val="24"/>
        </w:numPr>
        <w:spacing w:line="286" w:lineRule="auto"/>
        <w:jc w:val="both"/>
        <w:rPr>
          <w:lang w:val="en-US"/>
        </w:rPr>
      </w:pPr>
      <w:r w:rsidRPr="00D94470">
        <w:rPr>
          <w:lang w:val="en-US"/>
        </w:rPr>
        <w:lastRenderedPageBreak/>
        <w:t>Admission fees: According to the regulations of Quy Nhon University.</w:t>
      </w:r>
      <w:bookmarkStart w:id="10" w:name="_GoBack"/>
      <w:bookmarkEnd w:id="10"/>
    </w:p>
    <w:p w:rsidR="00D94470" w:rsidRPr="00D94470" w:rsidRDefault="00D94470" w:rsidP="00342496">
      <w:pPr>
        <w:pStyle w:val="BodyText"/>
        <w:numPr>
          <w:ilvl w:val="0"/>
          <w:numId w:val="24"/>
        </w:numPr>
        <w:spacing w:line="286" w:lineRule="auto"/>
        <w:jc w:val="both"/>
        <w:rPr>
          <w:lang w:val="en-US"/>
        </w:rPr>
      </w:pPr>
      <w:r w:rsidRPr="00D94470">
        <w:rPr>
          <w:lang w:val="en-US"/>
        </w:rPr>
        <w:t>Tuition fees: According to Decree No. 81/2021/ND-CP.</w:t>
      </w:r>
    </w:p>
    <w:bookmarkEnd w:id="7"/>
    <w:bookmarkEnd w:id="8"/>
    <w:bookmarkEnd w:id="9"/>
    <w:p w:rsidR="00D94470" w:rsidRPr="00087D70" w:rsidRDefault="00D94470" w:rsidP="00D94470">
      <w:pPr>
        <w:pStyle w:val="BodyText"/>
        <w:spacing w:line="286" w:lineRule="auto"/>
        <w:jc w:val="both"/>
      </w:pPr>
    </w:p>
    <w:sectPr w:rsidR="00D94470" w:rsidRPr="00087D70" w:rsidSect="008866F2">
      <w:headerReference w:type="even" r:id="rId8"/>
      <w:headerReference w:type="default" r:id="rId9"/>
      <w:pgSz w:w="11900" w:h="16840"/>
      <w:pgMar w:top="1958" w:right="820" w:bottom="1351" w:left="16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80" w:rsidRDefault="00294F80">
      <w:r>
        <w:separator/>
      </w:r>
    </w:p>
  </w:endnote>
  <w:endnote w:type="continuationSeparator" w:id="0">
    <w:p w:rsidR="00294F80" w:rsidRDefault="0029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80" w:rsidRDefault="00294F80"/>
  </w:footnote>
  <w:footnote w:type="continuationSeparator" w:id="0">
    <w:p w:rsidR="00294F80" w:rsidRDefault="00294F8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33" w:rsidRDefault="00FD38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33" w:rsidRDefault="00FD383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CFE"/>
    <w:multiLevelType w:val="multilevel"/>
    <w:tmpl w:val="1F74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12A8A"/>
    <w:multiLevelType w:val="multilevel"/>
    <w:tmpl w:val="6A0CD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405B6"/>
    <w:multiLevelType w:val="multilevel"/>
    <w:tmpl w:val="89A8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C2B0A"/>
    <w:multiLevelType w:val="multilevel"/>
    <w:tmpl w:val="D82C9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193B30"/>
    <w:multiLevelType w:val="hybridMultilevel"/>
    <w:tmpl w:val="C18CABE6"/>
    <w:lvl w:ilvl="0" w:tplc="3F4E1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65614"/>
    <w:multiLevelType w:val="multilevel"/>
    <w:tmpl w:val="0208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C641B"/>
    <w:multiLevelType w:val="multilevel"/>
    <w:tmpl w:val="7C9E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A5AA6"/>
    <w:multiLevelType w:val="multilevel"/>
    <w:tmpl w:val="C99C2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03522E"/>
    <w:multiLevelType w:val="multilevel"/>
    <w:tmpl w:val="E416C1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E265C9"/>
    <w:multiLevelType w:val="multilevel"/>
    <w:tmpl w:val="4ABC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021DFB"/>
    <w:multiLevelType w:val="multilevel"/>
    <w:tmpl w:val="BE880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E411C"/>
    <w:multiLevelType w:val="multilevel"/>
    <w:tmpl w:val="3190A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011FFF"/>
    <w:multiLevelType w:val="multilevel"/>
    <w:tmpl w:val="3F842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CE453D"/>
    <w:multiLevelType w:val="multilevel"/>
    <w:tmpl w:val="FFEA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54FB3"/>
    <w:multiLevelType w:val="hybridMultilevel"/>
    <w:tmpl w:val="92EABF62"/>
    <w:lvl w:ilvl="0" w:tplc="3F4E1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F2719"/>
    <w:multiLevelType w:val="hybridMultilevel"/>
    <w:tmpl w:val="3EBE49B2"/>
    <w:lvl w:ilvl="0" w:tplc="3F4E1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B7699"/>
    <w:multiLevelType w:val="multilevel"/>
    <w:tmpl w:val="454270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DB7B21"/>
    <w:multiLevelType w:val="multilevel"/>
    <w:tmpl w:val="C3C8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AC36E6"/>
    <w:multiLevelType w:val="hybridMultilevel"/>
    <w:tmpl w:val="884A174E"/>
    <w:lvl w:ilvl="0" w:tplc="295AC4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348D6"/>
    <w:multiLevelType w:val="multilevel"/>
    <w:tmpl w:val="F31C0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B4A4C"/>
    <w:multiLevelType w:val="multilevel"/>
    <w:tmpl w:val="1DD8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202C6D"/>
    <w:multiLevelType w:val="multilevel"/>
    <w:tmpl w:val="115E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7C17DE"/>
    <w:multiLevelType w:val="multilevel"/>
    <w:tmpl w:val="A8F0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11"/>
  </w:num>
  <w:num w:numId="4">
    <w:abstractNumId w:val="7"/>
  </w:num>
  <w:num w:numId="5">
    <w:abstractNumId w:val="8"/>
  </w:num>
  <w:num w:numId="6">
    <w:abstractNumId w:val="3"/>
  </w:num>
  <w:num w:numId="7">
    <w:abstractNumId w:val="5"/>
  </w:num>
  <w:num w:numId="8">
    <w:abstractNumId w:val="4"/>
  </w:num>
  <w:num w:numId="9">
    <w:abstractNumId w:val="21"/>
  </w:num>
  <w:num w:numId="10">
    <w:abstractNumId w:val="19"/>
  </w:num>
  <w:num w:numId="11">
    <w:abstractNumId w:val="19"/>
    <w:lvlOverride w:ilvl="1">
      <w:lvl w:ilvl="1">
        <w:numFmt w:val="bullet"/>
        <w:lvlText w:val=""/>
        <w:lvlJc w:val="left"/>
        <w:pPr>
          <w:tabs>
            <w:tab w:val="num" w:pos="1440"/>
          </w:tabs>
          <w:ind w:left="1440" w:hanging="360"/>
        </w:pPr>
        <w:rPr>
          <w:rFonts w:ascii="Symbol" w:hAnsi="Symbol" w:hint="default"/>
          <w:sz w:val="20"/>
        </w:rPr>
      </w:lvl>
    </w:lvlOverride>
  </w:num>
  <w:num w:numId="12">
    <w:abstractNumId w:val="9"/>
  </w:num>
  <w:num w:numId="13">
    <w:abstractNumId w:val="10"/>
    <w:lvlOverride w:ilvl="1">
      <w:lvl w:ilvl="1">
        <w:numFmt w:val="bullet"/>
        <w:lvlText w:val=""/>
        <w:lvlJc w:val="left"/>
        <w:pPr>
          <w:tabs>
            <w:tab w:val="num" w:pos="1440"/>
          </w:tabs>
          <w:ind w:left="1440" w:hanging="360"/>
        </w:pPr>
        <w:rPr>
          <w:rFonts w:ascii="Symbol" w:hAnsi="Symbol" w:hint="default"/>
          <w:sz w:val="20"/>
        </w:rPr>
      </w:lvl>
    </w:lvlOverride>
  </w:num>
  <w:num w:numId="14">
    <w:abstractNumId w:val="17"/>
  </w:num>
  <w:num w:numId="15">
    <w:abstractNumId w:val="1"/>
    <w:lvlOverride w:ilvl="1">
      <w:lvl w:ilvl="1">
        <w:numFmt w:val="bullet"/>
        <w:lvlText w:val=""/>
        <w:lvlJc w:val="left"/>
        <w:pPr>
          <w:tabs>
            <w:tab w:val="num" w:pos="1440"/>
          </w:tabs>
          <w:ind w:left="1440" w:hanging="360"/>
        </w:pPr>
        <w:rPr>
          <w:rFonts w:ascii="Symbol" w:hAnsi="Symbol" w:hint="default"/>
          <w:sz w:val="20"/>
        </w:rPr>
      </w:lvl>
    </w:lvlOverride>
  </w:num>
  <w:num w:numId="16">
    <w:abstractNumId w:val="6"/>
  </w:num>
  <w:num w:numId="17">
    <w:abstractNumId w:val="18"/>
  </w:num>
  <w:num w:numId="18">
    <w:abstractNumId w:val="2"/>
  </w:num>
  <w:num w:numId="19">
    <w:abstractNumId w:val="22"/>
  </w:num>
  <w:num w:numId="20">
    <w:abstractNumId w:val="0"/>
  </w:num>
  <w:num w:numId="21">
    <w:abstractNumId w:val="13"/>
  </w:num>
  <w:num w:numId="22">
    <w:abstractNumId w:val="20"/>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33"/>
    <w:rsid w:val="00087D70"/>
    <w:rsid w:val="001E4CC1"/>
    <w:rsid w:val="00294F80"/>
    <w:rsid w:val="00342496"/>
    <w:rsid w:val="005921F2"/>
    <w:rsid w:val="005A18CB"/>
    <w:rsid w:val="005C3B0A"/>
    <w:rsid w:val="005E3FC6"/>
    <w:rsid w:val="00822B83"/>
    <w:rsid w:val="008866F2"/>
    <w:rsid w:val="00934C94"/>
    <w:rsid w:val="00997B68"/>
    <w:rsid w:val="009F0BB7"/>
    <w:rsid w:val="00D94470"/>
    <w:rsid w:val="00DA109E"/>
    <w:rsid w:val="00FD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C9AB6"/>
  <w15:docId w15:val="{775420FF-3EEB-49EC-BC7C-D27366BE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CD3B5B"/>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pPr>
      <w:spacing w:line="360" w:lineRule="auto"/>
      <w:ind w:firstLine="580"/>
    </w:pPr>
    <w:rPr>
      <w:rFonts w:ascii="Times New Roman" w:eastAsia="Times New Roman" w:hAnsi="Times New Roman" w:cs="Times New Roman"/>
      <w:i/>
      <w:i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40" w:line="283" w:lineRule="auto"/>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40" w:line="283"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spacing w:after="330"/>
      <w:ind w:left="1080"/>
    </w:pPr>
    <w:rPr>
      <w:rFonts w:ascii="Arial" w:eastAsia="Arial" w:hAnsi="Arial" w:cs="Arial"/>
      <w:color w:val="CD3B5B"/>
      <w:sz w:val="26"/>
      <w:szCs w:val="26"/>
    </w:rPr>
  </w:style>
  <w:style w:type="paragraph" w:customStyle="1" w:styleId="Other0">
    <w:name w:val="Other"/>
    <w:basedOn w:val="Normal"/>
    <w:link w:val="Other"/>
    <w:pPr>
      <w:spacing w:after="40" w:line="283" w:lineRule="auto"/>
    </w:pPr>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934C94"/>
    <w:pPr>
      <w:tabs>
        <w:tab w:val="center" w:pos="4680"/>
        <w:tab w:val="right" w:pos="9360"/>
      </w:tabs>
    </w:pPr>
  </w:style>
  <w:style w:type="character" w:customStyle="1" w:styleId="FooterChar">
    <w:name w:val="Footer Char"/>
    <w:basedOn w:val="DefaultParagraphFont"/>
    <w:link w:val="Footer"/>
    <w:uiPriority w:val="99"/>
    <w:rsid w:val="00934C94"/>
    <w:rPr>
      <w:color w:val="000000"/>
    </w:rPr>
  </w:style>
  <w:style w:type="paragraph" w:styleId="Header">
    <w:name w:val="header"/>
    <w:basedOn w:val="Normal"/>
    <w:link w:val="HeaderChar"/>
    <w:uiPriority w:val="99"/>
    <w:unhideWhenUsed/>
    <w:rsid w:val="00934C94"/>
    <w:pPr>
      <w:tabs>
        <w:tab w:val="center" w:pos="4680"/>
        <w:tab w:val="right" w:pos="9360"/>
      </w:tabs>
    </w:pPr>
  </w:style>
  <w:style w:type="character" w:customStyle="1" w:styleId="HeaderChar">
    <w:name w:val="Header Char"/>
    <w:basedOn w:val="DefaultParagraphFont"/>
    <w:link w:val="Header"/>
    <w:uiPriority w:val="99"/>
    <w:rsid w:val="00934C94"/>
    <w:rPr>
      <w:color w:val="000000"/>
    </w:rPr>
  </w:style>
  <w:style w:type="paragraph" w:styleId="NormalWeb">
    <w:name w:val="Normal (Web)"/>
    <w:basedOn w:val="Normal"/>
    <w:uiPriority w:val="99"/>
    <w:semiHidden/>
    <w:unhideWhenUsed/>
    <w:rsid w:val="005C3B0A"/>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5C3B0A"/>
    <w:rPr>
      <w:b/>
      <w:bCs/>
    </w:rPr>
  </w:style>
  <w:style w:type="paragraph" w:styleId="ListParagraph">
    <w:name w:val="List Paragraph"/>
    <w:basedOn w:val="Normal"/>
    <w:uiPriority w:val="34"/>
    <w:qFormat/>
    <w:rsid w:val="005C3B0A"/>
    <w:pPr>
      <w:ind w:left="720"/>
      <w:contextualSpacing/>
    </w:pPr>
  </w:style>
  <w:style w:type="table" w:styleId="TableGrid">
    <w:name w:val="Table Grid"/>
    <w:basedOn w:val="TableNormal"/>
    <w:uiPriority w:val="39"/>
    <w:rsid w:val="005C3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0203">
      <w:bodyDiv w:val="1"/>
      <w:marLeft w:val="0"/>
      <w:marRight w:val="0"/>
      <w:marTop w:val="0"/>
      <w:marBottom w:val="0"/>
      <w:divBdr>
        <w:top w:val="none" w:sz="0" w:space="0" w:color="auto"/>
        <w:left w:val="none" w:sz="0" w:space="0" w:color="auto"/>
        <w:bottom w:val="none" w:sz="0" w:space="0" w:color="auto"/>
        <w:right w:val="none" w:sz="0" w:space="0" w:color="auto"/>
      </w:divBdr>
    </w:div>
    <w:div w:id="587889493">
      <w:bodyDiv w:val="1"/>
      <w:marLeft w:val="0"/>
      <w:marRight w:val="0"/>
      <w:marTop w:val="0"/>
      <w:marBottom w:val="0"/>
      <w:divBdr>
        <w:top w:val="none" w:sz="0" w:space="0" w:color="auto"/>
        <w:left w:val="none" w:sz="0" w:space="0" w:color="auto"/>
        <w:bottom w:val="none" w:sz="0" w:space="0" w:color="auto"/>
        <w:right w:val="none" w:sz="0" w:space="0" w:color="auto"/>
      </w:divBdr>
    </w:div>
    <w:div w:id="1047677869">
      <w:bodyDiv w:val="1"/>
      <w:marLeft w:val="0"/>
      <w:marRight w:val="0"/>
      <w:marTop w:val="0"/>
      <w:marBottom w:val="0"/>
      <w:divBdr>
        <w:top w:val="none" w:sz="0" w:space="0" w:color="auto"/>
        <w:left w:val="none" w:sz="0" w:space="0" w:color="auto"/>
        <w:bottom w:val="none" w:sz="0" w:space="0" w:color="auto"/>
        <w:right w:val="none" w:sz="0" w:space="0" w:color="auto"/>
      </w:divBdr>
    </w:div>
    <w:div w:id="1431125692">
      <w:bodyDiv w:val="1"/>
      <w:marLeft w:val="0"/>
      <w:marRight w:val="0"/>
      <w:marTop w:val="0"/>
      <w:marBottom w:val="0"/>
      <w:divBdr>
        <w:top w:val="none" w:sz="0" w:space="0" w:color="auto"/>
        <w:left w:val="none" w:sz="0" w:space="0" w:color="auto"/>
        <w:bottom w:val="none" w:sz="0" w:space="0" w:color="auto"/>
        <w:right w:val="none" w:sz="0" w:space="0" w:color="auto"/>
      </w:divBdr>
    </w:div>
    <w:div w:id="1936088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2024-03-21T09:30:00Z</dcterms:created>
  <dcterms:modified xsi:type="dcterms:W3CDTF">2024-03-25T13:32:00Z</dcterms:modified>
</cp:coreProperties>
</file>